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2162148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6" w14:textId="77777777" w:rsidR="00E13C27" w:rsidRDefault="008F6665" w:rsidP="00930EFE">
      <w:pPr>
        <w:pStyle w:val="David"/>
        <w:ind w:left="3544"/>
        <w:rPr>
          <w:b/>
          <w:bCs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אורי </w:t>
      </w:r>
      <w:proofErr w:type="spellStart"/>
      <w:r>
        <w:rPr>
          <w:rFonts w:hint="cs"/>
          <w:b/>
          <w:bCs/>
          <w:rtl/>
        </w:rPr>
        <w:t>מקלב</w:t>
      </w:r>
      <w:bookmarkEnd w:id="3"/>
      <w:proofErr w:type="spellEnd"/>
    </w:p>
    <w:p w14:paraId="7F6961AA" w14:textId="39F9D96B" w:rsidR="00E13C27" w:rsidRPr="00CF1AA2" w:rsidRDefault="007D585A" w:rsidP="0036422C">
      <w:pPr>
        <w:pStyle w:val="David"/>
        <w:ind w:left="3544"/>
        <w:rPr>
          <w:b/>
          <w:bCs/>
          <w:sz w:val="16"/>
          <w:szCs w:val="16"/>
          <w:rtl/>
        </w:rPr>
      </w:pPr>
      <w:bookmarkStart w:id="4" w:name="LGS_Join_List"/>
      <w:r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C" w14:textId="5F4F8CB7" w:rsidR="00E13C27" w:rsidRDefault="00D00E27" w:rsidP="00E13C27">
      <w:pPr>
        <w:ind w:left="2880" w:firstLine="720"/>
        <w:rPr>
          <w:sz w:val="26"/>
          <w:szCs w:val="26"/>
          <w:rtl/>
        </w:rPr>
      </w:pP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>
        <w:rPr>
          <w:rFonts w:hint="cs"/>
          <w:sz w:val="26"/>
          <w:szCs w:val="26"/>
          <w:rtl/>
        </w:rPr>
        <w:t>פ/2481/24</w:t>
      </w:r>
    </w:p>
    <w:p w14:paraId="7F6961AE" w14:textId="09D61EBA" w:rsidR="00E13C27" w:rsidRDefault="00A443CF" w:rsidP="00D00E27">
      <w:pPr>
        <w:pStyle w:val="HeadHatzaotHok"/>
        <w:rPr>
          <w:rtl/>
        </w:rPr>
      </w:pPr>
      <w:bookmarkStart w:id="6" w:name="LGS_Subject"/>
      <w:r>
        <w:rPr>
          <w:rFonts w:hint="cs"/>
          <w:rtl/>
        </w:rPr>
        <w:t xml:space="preserve">הצעת חוק חוזה הביטוח (תיקון – ביטוח דירה), </w:t>
      </w:r>
      <w:proofErr w:type="spellStart"/>
      <w:r>
        <w:rPr>
          <w:rFonts w:hint="cs"/>
          <w:rtl/>
        </w:rPr>
        <w:t>התשפ"ב</w:t>
      </w:r>
      <w:proofErr w:type="spellEnd"/>
      <w:r>
        <w:rPr>
          <w:rFonts w:hint="cs"/>
          <w:rtl/>
        </w:rPr>
        <w:t>–2021</w:t>
      </w:r>
      <w:bookmarkEnd w:id="6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624"/>
        <w:gridCol w:w="7144"/>
      </w:tblGrid>
      <w:tr w:rsidR="00FA0C7E" w:rsidRPr="00ED149F" w14:paraId="6E9D19C8" w14:textId="77777777" w:rsidTr="00D00E27">
        <w:trPr>
          <w:cantSplit/>
        </w:trPr>
        <w:tc>
          <w:tcPr>
            <w:tcW w:w="1871" w:type="dxa"/>
          </w:tcPr>
          <w:p w14:paraId="678FF068" w14:textId="51C34FFD" w:rsidR="00FA0C7E" w:rsidRPr="00582708" w:rsidRDefault="00A53542" w:rsidP="002746DE">
            <w:pPr>
              <w:pStyle w:val="TableSideHeading"/>
              <w:keepLines w:val="0"/>
              <w:jc w:val="both"/>
            </w:pPr>
            <w:r>
              <w:rPr>
                <w:rFonts w:hint="cs"/>
                <w:rtl/>
              </w:rPr>
              <w:t>תיקון סעיף 55</w:t>
            </w:r>
          </w:p>
        </w:tc>
        <w:tc>
          <w:tcPr>
            <w:tcW w:w="624" w:type="dxa"/>
          </w:tcPr>
          <w:p w14:paraId="1806ABE9" w14:textId="77777777" w:rsidR="00FA0C7E" w:rsidRPr="00582708" w:rsidRDefault="00FA0C7E" w:rsidP="002746DE">
            <w:pPr>
              <w:pStyle w:val="TableText"/>
              <w:keepLines w:val="0"/>
              <w:jc w:val="both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14:paraId="52FDD339" w14:textId="145A7A7C" w:rsidR="00FA0C7E" w:rsidRPr="00ED149F" w:rsidRDefault="00FA0C7E" w:rsidP="00D00E27">
            <w:pPr>
              <w:pStyle w:val="TableBlock"/>
            </w:pPr>
            <w:r w:rsidRPr="00ED149F">
              <w:rPr>
                <w:rFonts w:hint="cs"/>
                <w:rtl/>
              </w:rPr>
              <w:t>ב</w:t>
            </w:r>
            <w:r w:rsidRPr="00ED149F">
              <w:rPr>
                <w:rtl/>
              </w:rPr>
              <w:t xml:space="preserve">חוק חוזה הביטוח, </w:t>
            </w:r>
            <w:proofErr w:type="spellStart"/>
            <w:r w:rsidRPr="00ED149F">
              <w:rPr>
                <w:rFonts w:hint="cs"/>
                <w:rtl/>
              </w:rPr>
              <w:t>ה</w:t>
            </w:r>
            <w:r w:rsidRPr="00ED149F">
              <w:rPr>
                <w:rtl/>
              </w:rPr>
              <w:t>תשמ"א</w:t>
            </w:r>
            <w:proofErr w:type="spellEnd"/>
            <w:r w:rsidRPr="00ED149F">
              <w:rPr>
                <w:rFonts w:hint="cs"/>
                <w:rtl/>
              </w:rPr>
              <w:t>–</w:t>
            </w:r>
            <w:r w:rsidRPr="00ED149F">
              <w:rPr>
                <w:rtl/>
              </w:rPr>
              <w:t>1981</w:t>
            </w:r>
            <w:r w:rsidRPr="00D00E27">
              <w:rPr>
                <w:rStyle w:val="a6"/>
                <w:rFonts w:ascii="David" w:hAnsi="David"/>
                <w:sz w:val="26"/>
                <w:rtl/>
              </w:rPr>
              <w:footnoteReference w:id="2"/>
            </w:r>
            <w:r w:rsidRPr="00ED149F">
              <w:rPr>
                <w:rFonts w:hint="cs"/>
                <w:rtl/>
              </w:rPr>
              <w:t xml:space="preserve">, </w:t>
            </w:r>
            <w:r w:rsidR="00A53542">
              <w:rPr>
                <w:rFonts w:hint="cs"/>
                <w:rtl/>
              </w:rPr>
              <w:t xml:space="preserve">בסעיף 55 לחוק, </w:t>
            </w:r>
            <w:r w:rsidRPr="00ED149F">
              <w:rPr>
                <w:rFonts w:hint="cs"/>
                <w:rtl/>
              </w:rPr>
              <w:t xml:space="preserve">אחרי סעיף </w:t>
            </w:r>
            <w:r w:rsidR="00A53542">
              <w:rPr>
                <w:rFonts w:hint="cs"/>
                <w:rtl/>
              </w:rPr>
              <w:t xml:space="preserve">קטן </w:t>
            </w:r>
            <w:r>
              <w:rPr>
                <w:rFonts w:hint="cs"/>
                <w:rtl/>
              </w:rPr>
              <w:t>(ב)</w:t>
            </w:r>
            <w:r w:rsidRPr="00ED149F">
              <w:rPr>
                <w:rFonts w:hint="cs"/>
                <w:rtl/>
              </w:rPr>
              <w:t xml:space="preserve"> יבוא:</w:t>
            </w:r>
          </w:p>
        </w:tc>
      </w:tr>
      <w:tr w:rsidR="00D00E27" w14:paraId="229617A6" w14:textId="77777777" w:rsidTr="00D00E27">
        <w:trPr>
          <w:cantSplit/>
        </w:trPr>
        <w:tc>
          <w:tcPr>
            <w:tcW w:w="1871" w:type="dxa"/>
          </w:tcPr>
          <w:p w14:paraId="1E31C7D9" w14:textId="77777777" w:rsidR="00D00E27" w:rsidRDefault="00D00E27">
            <w:pPr>
              <w:pStyle w:val="TableSideHeading"/>
            </w:pPr>
          </w:p>
        </w:tc>
        <w:tc>
          <w:tcPr>
            <w:tcW w:w="621" w:type="dxa"/>
          </w:tcPr>
          <w:p w14:paraId="76CC9656" w14:textId="77777777" w:rsidR="00D00E27" w:rsidRDefault="00D00E27">
            <w:pPr>
              <w:pStyle w:val="TableText"/>
            </w:pPr>
          </w:p>
        </w:tc>
        <w:tc>
          <w:tcPr>
            <w:tcW w:w="7146" w:type="dxa"/>
          </w:tcPr>
          <w:p w14:paraId="06270922" w14:textId="197A631F" w:rsidR="00D00E27" w:rsidRDefault="00D00E27" w:rsidP="00D00E27">
            <w:pPr>
              <w:pStyle w:val="TableBlock"/>
            </w:pPr>
            <w:r>
              <w:rPr>
                <w:rFonts w:hint="cs"/>
                <w:rtl/>
              </w:rPr>
              <w:t>"(ג)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בביטוח דירות הכיסוי </w:t>
            </w:r>
            <w:proofErr w:type="spellStart"/>
            <w:r>
              <w:rPr>
                <w:rFonts w:hint="cs"/>
                <w:rtl/>
              </w:rPr>
              <w:t>הביטוחי</w:t>
            </w:r>
            <w:proofErr w:type="spellEnd"/>
            <w:r>
              <w:rPr>
                <w:rFonts w:hint="cs"/>
                <w:rtl/>
              </w:rPr>
              <w:t xml:space="preserve"> יכסה גם מקרה ביטוח של קריסת המבנה בו מצויה הדירה המבוטחת או מקרה בו לגבי מבנה כאמור ניתנה הוראה לפי דין המייעדת אותו להריסה או אטימה בשל היותו מסוכן</w:t>
            </w:r>
            <w:r>
              <w:rPr>
                <w:rFonts w:ascii="David" w:hAnsi="David" w:hint="cs"/>
                <w:sz w:val="26"/>
                <w:rtl/>
              </w:rPr>
              <w:t>, והכל אלא אם הוכיח המבטח כי הנזק נגרם למבנה באשמת המבוטח</w:t>
            </w:r>
            <w:r w:rsidRPr="0037667E">
              <w:rPr>
                <w:rFonts w:ascii="David" w:hAnsi="David"/>
                <w:sz w:val="26"/>
                <w:rtl/>
              </w:rPr>
              <w:t>."</w:t>
            </w:r>
          </w:p>
        </w:tc>
      </w:tr>
    </w:tbl>
    <w:p w14:paraId="7F6961CA" w14:textId="77777777" w:rsidR="002D1EE3" w:rsidRDefault="002D1EE3" w:rsidP="002D1EE3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1D523997" w14:textId="3DFAC57F" w:rsidR="00BC7731" w:rsidRDefault="00BC7731" w:rsidP="009C2CA8">
      <w:pPr>
        <w:pStyle w:val="Hesber"/>
        <w:rPr>
          <w:rtl/>
        </w:rPr>
      </w:pPr>
      <w:r>
        <w:rPr>
          <w:rFonts w:hint="cs"/>
          <w:rtl/>
        </w:rPr>
        <w:t xml:space="preserve">בתקופה האחרונה, התופעה של מתן </w:t>
      </w:r>
      <w:r w:rsidR="009C2CA8">
        <w:rPr>
          <w:rFonts w:hint="cs"/>
          <w:rtl/>
        </w:rPr>
        <w:t>הוראות</w:t>
      </w:r>
      <w:r>
        <w:rPr>
          <w:rFonts w:hint="cs"/>
          <w:rtl/>
        </w:rPr>
        <w:t xml:space="preserve"> פינוי</w:t>
      </w:r>
      <w:r w:rsidR="003C5B88">
        <w:rPr>
          <w:rFonts w:hint="cs"/>
          <w:rtl/>
        </w:rPr>
        <w:t xml:space="preserve"> לדיירי מבנים שהוגדרו כמסוכנים למגורים </w:t>
      </w:r>
      <w:r>
        <w:rPr>
          <w:rFonts w:hint="cs"/>
          <w:rtl/>
        </w:rPr>
        <w:t>נעשתה רווחת</w:t>
      </w:r>
      <w:r w:rsidR="00C37069">
        <w:rPr>
          <w:rFonts w:hint="cs"/>
          <w:rtl/>
        </w:rPr>
        <w:t xml:space="preserve">. </w:t>
      </w:r>
      <w:r>
        <w:rPr>
          <w:rFonts w:hint="cs"/>
          <w:rtl/>
        </w:rPr>
        <w:t>תופעה זו</w:t>
      </w:r>
      <w:r w:rsidR="000B76FC">
        <w:rPr>
          <w:rFonts w:hint="cs"/>
          <w:rtl/>
        </w:rPr>
        <w:t>, שבצידה לעיתים</w:t>
      </w:r>
      <w:r w:rsidR="003C5B88">
        <w:rPr>
          <w:rFonts w:hint="cs"/>
          <w:rtl/>
        </w:rPr>
        <w:t xml:space="preserve"> גם החלטה מטעם ראשי העיריות ומהנדסי העיר להרוס או לאטום את המבנים המסוכנים,</w:t>
      </w:r>
      <w:r>
        <w:rPr>
          <w:rFonts w:hint="cs"/>
          <w:rtl/>
        </w:rPr>
        <w:t xml:space="preserve"> החלה להתרחב</w:t>
      </w:r>
      <w:r w:rsidR="00A52BB6">
        <w:rPr>
          <w:rFonts w:hint="cs"/>
          <w:rtl/>
        </w:rPr>
        <w:t xml:space="preserve"> </w:t>
      </w:r>
      <w:r w:rsidR="009C2CA8">
        <w:rPr>
          <w:rFonts w:hint="cs"/>
          <w:rtl/>
        </w:rPr>
        <w:t>בסמוך לקריסה</w:t>
      </w:r>
      <w:r w:rsidR="000B76FC">
        <w:rPr>
          <w:rFonts w:hint="cs"/>
          <w:rtl/>
        </w:rPr>
        <w:t xml:space="preserve"> שאירעה לאחרונה</w:t>
      </w:r>
      <w:r>
        <w:rPr>
          <w:rFonts w:hint="cs"/>
          <w:rtl/>
        </w:rPr>
        <w:t xml:space="preserve"> של מבנה בחולון והוסיפה להתרחב מאז. </w:t>
      </w:r>
    </w:p>
    <w:p w14:paraId="37EEA8D8" w14:textId="6AD149EF" w:rsidR="00C37069" w:rsidRDefault="00BC7731" w:rsidP="005C6D5A">
      <w:pPr>
        <w:pStyle w:val="Hesber"/>
        <w:rPr>
          <w:rtl/>
        </w:rPr>
      </w:pPr>
      <w:r>
        <w:rPr>
          <w:rFonts w:hint="cs"/>
          <w:rtl/>
        </w:rPr>
        <w:t>נכון להיום</w:t>
      </w:r>
      <w:r w:rsidR="00C37069">
        <w:rPr>
          <w:rFonts w:hint="cs"/>
          <w:rtl/>
        </w:rPr>
        <w:t>,</w:t>
      </w:r>
      <w:r w:rsidR="00192C78">
        <w:rPr>
          <w:rFonts w:hint="cs"/>
          <w:rtl/>
        </w:rPr>
        <w:t xml:space="preserve"> סיכון של קריסת מבנה</w:t>
      </w:r>
      <w:r w:rsidR="005C6D5A">
        <w:rPr>
          <w:rFonts w:hint="cs"/>
          <w:rtl/>
        </w:rPr>
        <w:t xml:space="preserve"> וכן הריסה או </w:t>
      </w:r>
      <w:r w:rsidR="00192C78">
        <w:rPr>
          <w:rFonts w:hint="cs"/>
          <w:rtl/>
        </w:rPr>
        <w:t>אטימה של מבנה בשל</w:t>
      </w:r>
      <w:r w:rsidR="003C5B88">
        <w:rPr>
          <w:rFonts w:hint="cs"/>
          <w:rtl/>
        </w:rPr>
        <w:t xml:space="preserve"> מסוכנות המגורים בו,</w:t>
      </w:r>
      <w:r>
        <w:rPr>
          <w:rFonts w:hint="cs"/>
          <w:rtl/>
        </w:rPr>
        <w:t xml:space="preserve"> אינו מכוסה באופן מפורש בתקנות הפיקוח על עסקי </w:t>
      </w:r>
      <w:r w:rsidR="00C37069">
        <w:rPr>
          <w:rFonts w:hint="cs"/>
          <w:rtl/>
        </w:rPr>
        <w:t xml:space="preserve">ביטוח (תנאי חוזה לביטוח דירות ותכולתן), </w:t>
      </w:r>
      <w:proofErr w:type="spellStart"/>
      <w:r w:rsidR="00C37069">
        <w:rPr>
          <w:rFonts w:hint="cs"/>
          <w:rtl/>
        </w:rPr>
        <w:t>התשמ"ו</w:t>
      </w:r>
      <w:proofErr w:type="spellEnd"/>
      <w:r w:rsidR="005C6D5A">
        <w:rPr>
          <w:rFonts w:hint="cs"/>
          <w:rtl/>
        </w:rPr>
        <w:t>–1986, והצעת החוק נועדה לשנות מציאות זו.</w:t>
      </w:r>
      <w:r w:rsidR="00C37069">
        <w:rPr>
          <w:rFonts w:hint="cs"/>
          <w:rtl/>
        </w:rPr>
        <w:t xml:space="preserve"> </w:t>
      </w:r>
    </w:p>
    <w:p w14:paraId="6A7A995D" w14:textId="5C5D0E75" w:rsidR="00BC7731" w:rsidRDefault="005C6D5A" w:rsidP="009C2CA8">
      <w:pPr>
        <w:pStyle w:val="Hesber"/>
        <w:rPr>
          <w:rtl/>
        </w:rPr>
      </w:pPr>
      <w:r>
        <w:rPr>
          <w:rFonts w:hint="cs"/>
          <w:rtl/>
        </w:rPr>
        <w:t>לפיכך, מוצע לחייב את המבטחים לכלול בביטוח דירות ותכולתן</w:t>
      </w:r>
      <w:r w:rsidR="00BC7731">
        <w:rPr>
          <w:rFonts w:hint="cs"/>
          <w:rtl/>
        </w:rPr>
        <w:t xml:space="preserve"> כיסוי למקרה בו המבנה בו נמצאת הדירה המבוטחת קרס</w:t>
      </w:r>
      <w:r w:rsidR="003C5B88">
        <w:rPr>
          <w:rFonts w:hint="cs"/>
          <w:rtl/>
        </w:rPr>
        <w:t>,</w:t>
      </w:r>
      <w:r w:rsidR="00BC7731">
        <w:rPr>
          <w:rFonts w:hint="cs"/>
          <w:rtl/>
        </w:rPr>
        <w:t xml:space="preserve"> </w:t>
      </w:r>
      <w:r w:rsidR="003C5B88">
        <w:rPr>
          <w:rFonts w:hint="cs"/>
          <w:rtl/>
        </w:rPr>
        <w:t>ו</w:t>
      </w:r>
      <w:r w:rsidR="00BC7731">
        <w:rPr>
          <w:rFonts w:hint="cs"/>
          <w:rtl/>
        </w:rPr>
        <w:t>מקרה בו המבנה יועד להריסה או אטימה</w:t>
      </w:r>
      <w:r w:rsidR="009C2CA8">
        <w:rPr>
          <w:rFonts w:hint="cs"/>
          <w:rtl/>
        </w:rPr>
        <w:t xml:space="preserve"> בשל היותו מסוכן, והכל אלא אם הוכיח המבטח כי הנזק נגרם למבנה באשמת המבוטח.</w:t>
      </w:r>
      <w:r w:rsidR="00BC7731">
        <w:rPr>
          <w:rFonts w:hint="cs"/>
          <w:rtl/>
        </w:rPr>
        <w:t xml:space="preserve"> </w:t>
      </w:r>
    </w:p>
    <w:p w14:paraId="2D1493B9" w14:textId="77777777" w:rsidR="00D00E27" w:rsidRDefault="00D00E27" w:rsidP="00D00E27">
      <w:pPr>
        <w:spacing w:line="276" w:lineRule="auto"/>
        <w:jc w:val="left"/>
        <w:rPr>
          <w:rFonts w:eastAsia="David"/>
          <w:sz w:val="26"/>
          <w:szCs w:val="26"/>
          <w:rtl/>
        </w:rPr>
      </w:pPr>
      <w:bookmarkStart w:id="7" w:name="selectedDocDateB"/>
      <w:bookmarkEnd w:id="7"/>
    </w:p>
    <w:p w14:paraId="2AFEA74D" w14:textId="77777777" w:rsidR="00AD2563" w:rsidRDefault="00D00E27" w:rsidP="00D00E27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t>-</w:t>
      </w:r>
      <w:r>
        <w:rPr>
          <w:rFonts w:eastAsia="David" w:hint="cs"/>
          <w:sz w:val="26"/>
          <w:szCs w:val="26"/>
          <w:rtl/>
        </w:rPr>
        <w:t>-------------------------------</w:t>
      </w:r>
    </w:p>
    <w:p w14:paraId="0664FD6F" w14:textId="77777777" w:rsidR="00AD2563" w:rsidRDefault="00D00E27" w:rsidP="00D00E27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lastRenderedPageBreak/>
        <w:t>הוגשה ליו"ר הכנסת והסגנים</w:t>
      </w:r>
    </w:p>
    <w:p w14:paraId="6B5B313C" w14:textId="77777777" w:rsidR="00AD2563" w:rsidRDefault="00D00E27" w:rsidP="00D00E27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7257BD1B" w14:textId="65703B47" w:rsidR="00AD2563" w:rsidRDefault="00D00E27" w:rsidP="00D00E27">
      <w:pPr>
        <w:spacing w:line="276" w:lineRule="auto"/>
        <w:jc w:val="left"/>
      </w:pPr>
      <w:r>
        <w:rPr>
          <w:rFonts w:eastAsia="David" w:hint="cs"/>
          <w:sz w:val="26"/>
          <w:szCs w:val="26"/>
          <w:rtl/>
        </w:rPr>
        <w:t xml:space="preserve">י"א בכסלו התשפ"ב (15.11.2021) </w:t>
      </w:r>
      <w:bookmarkStart w:id="8" w:name="_GoBack"/>
      <w:bookmarkEnd w:id="8"/>
    </w:p>
    <w:sectPr w:rsidR="00AD2563" w:rsidSect="00D00E27">
      <w:footerReference w:type="even" r:id="rId11"/>
      <w:footerReference w:type="default" r:id="rId12"/>
      <w:pgSz w:w="11907" w:h="16840" w:code="9"/>
      <w:pgMar w:top="1701" w:right="1134" w:bottom="1135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D00E27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D00E27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0D2BB536" w14:textId="77777777" w:rsidR="00FA0C7E" w:rsidRDefault="00FA0C7E" w:rsidP="00FA0C7E">
      <w:pPr>
        <w:pStyle w:val="a4"/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ס"ח </w:t>
      </w:r>
      <w:proofErr w:type="spellStart"/>
      <w:r>
        <w:rPr>
          <w:rFonts w:hint="cs"/>
          <w:rtl/>
        </w:rPr>
        <w:t>התשמ"א</w:t>
      </w:r>
      <w:proofErr w:type="spellEnd"/>
      <w:r>
        <w:rPr>
          <w:rFonts w:hint="cs"/>
          <w:rtl/>
        </w:rPr>
        <w:t>, עמ' 94.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0B76FC"/>
    <w:rsid w:val="00102B6B"/>
    <w:rsid w:val="001052D4"/>
    <w:rsid w:val="0010644B"/>
    <w:rsid w:val="001207F8"/>
    <w:rsid w:val="00121924"/>
    <w:rsid w:val="001279A8"/>
    <w:rsid w:val="00136B49"/>
    <w:rsid w:val="0014195F"/>
    <w:rsid w:val="00152609"/>
    <w:rsid w:val="00153E1B"/>
    <w:rsid w:val="00192C78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0182"/>
    <w:rsid w:val="002F1D80"/>
    <w:rsid w:val="003232A2"/>
    <w:rsid w:val="00325C14"/>
    <w:rsid w:val="0036422C"/>
    <w:rsid w:val="003710F6"/>
    <w:rsid w:val="0037667E"/>
    <w:rsid w:val="00386E88"/>
    <w:rsid w:val="00396585"/>
    <w:rsid w:val="003C5B88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100AB"/>
    <w:rsid w:val="00553C9D"/>
    <w:rsid w:val="00562A66"/>
    <w:rsid w:val="005B064E"/>
    <w:rsid w:val="005C6D5A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A71DF"/>
    <w:rsid w:val="007C3FA6"/>
    <w:rsid w:val="007D585A"/>
    <w:rsid w:val="007D5A12"/>
    <w:rsid w:val="007E59F9"/>
    <w:rsid w:val="00807B5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C2CA8"/>
    <w:rsid w:val="009D6E0A"/>
    <w:rsid w:val="009E1E33"/>
    <w:rsid w:val="00A14672"/>
    <w:rsid w:val="00A26BD6"/>
    <w:rsid w:val="00A443CF"/>
    <w:rsid w:val="00A52BB6"/>
    <w:rsid w:val="00A53542"/>
    <w:rsid w:val="00A6611D"/>
    <w:rsid w:val="00A82CB7"/>
    <w:rsid w:val="00A942C1"/>
    <w:rsid w:val="00A9529D"/>
    <w:rsid w:val="00AA2F03"/>
    <w:rsid w:val="00AC36F7"/>
    <w:rsid w:val="00AC63A4"/>
    <w:rsid w:val="00AD239E"/>
    <w:rsid w:val="00AD2563"/>
    <w:rsid w:val="00B10265"/>
    <w:rsid w:val="00B16A99"/>
    <w:rsid w:val="00B21211"/>
    <w:rsid w:val="00B35784"/>
    <w:rsid w:val="00B733A7"/>
    <w:rsid w:val="00B75C91"/>
    <w:rsid w:val="00B975AD"/>
    <w:rsid w:val="00BC45FB"/>
    <w:rsid w:val="00BC7731"/>
    <w:rsid w:val="00BF148D"/>
    <w:rsid w:val="00C23B1A"/>
    <w:rsid w:val="00C310EB"/>
    <w:rsid w:val="00C37069"/>
    <w:rsid w:val="00C9176A"/>
    <w:rsid w:val="00CF1AA2"/>
    <w:rsid w:val="00D00E27"/>
    <w:rsid w:val="00D142D3"/>
    <w:rsid w:val="00D17774"/>
    <w:rsid w:val="00D63620"/>
    <w:rsid w:val="00D8410D"/>
    <w:rsid w:val="00D867D7"/>
    <w:rsid w:val="00D9394C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2D"/>
    <w:rsid w:val="00EA01E6"/>
    <w:rsid w:val="00EA3DE8"/>
    <w:rsid w:val="00EA758F"/>
    <w:rsid w:val="00EC7889"/>
    <w:rsid w:val="00ED4A6F"/>
    <w:rsid w:val="00EF3A3A"/>
    <w:rsid w:val="00F628D6"/>
    <w:rsid w:val="00F67051"/>
    <w:rsid w:val="00F86A1E"/>
    <w:rsid w:val="00FA0C7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0C577FAD-E2B0-4A3E-A38D-007B22CD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27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0E27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D00E27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D00E27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D00E27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00E27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  <w:rsid w:val="00D00E2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00E27"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D00E27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D00E27"/>
    <w:rPr>
      <w:sz w:val="36"/>
      <w:szCs w:val="52"/>
    </w:rPr>
  </w:style>
  <w:style w:type="paragraph" w:customStyle="1" w:styleId="Cover3-Haknesset">
    <w:name w:val="Cover 3-Haknesset"/>
    <w:basedOn w:val="Cover1-Reshumot"/>
    <w:rsid w:val="00D00E27"/>
    <w:rPr>
      <w:b/>
      <w:bCs/>
      <w:spacing w:val="60"/>
    </w:rPr>
  </w:style>
  <w:style w:type="paragraph" w:customStyle="1" w:styleId="Cover4-Date">
    <w:name w:val="Cover 4-Date"/>
    <w:basedOn w:val="a"/>
    <w:rsid w:val="00D00E27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D00E27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D00E27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D00E27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D00E27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D00E27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D00E27"/>
    <w:pPr>
      <w:outlineLvl w:val="2"/>
    </w:pPr>
  </w:style>
  <w:style w:type="paragraph" w:customStyle="1" w:styleId="TableBlock">
    <w:name w:val="Table Block"/>
    <w:basedOn w:val="TableText"/>
    <w:rsid w:val="00D00E27"/>
    <w:pPr>
      <w:jc w:val="both"/>
    </w:pPr>
  </w:style>
  <w:style w:type="paragraph" w:customStyle="1" w:styleId="TableHead">
    <w:name w:val="Table Head"/>
    <w:basedOn w:val="TableText"/>
    <w:rsid w:val="00D00E27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D00E27"/>
    <w:pPr>
      <w:outlineLvl w:val="9"/>
    </w:pPr>
  </w:style>
  <w:style w:type="paragraph" w:customStyle="1" w:styleId="Hesber">
    <w:name w:val="Hesber"/>
    <w:basedOn w:val="a"/>
    <w:rsid w:val="00D00E27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D00E27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D00E27"/>
    <w:rPr>
      <w:vertAlign w:val="superscript"/>
    </w:rPr>
  </w:style>
  <w:style w:type="paragraph" w:customStyle="1" w:styleId="HesberHeading">
    <w:name w:val="Hesber Heading"/>
    <w:basedOn w:val="Hesber"/>
    <w:rsid w:val="00D00E27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D00E27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D00E27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D00E27"/>
    <w:rPr>
      <w:vertAlign w:val="superscript"/>
    </w:rPr>
  </w:style>
  <w:style w:type="paragraph" w:customStyle="1" w:styleId="TableBlockOutdent">
    <w:name w:val="Table BlockOutdent"/>
    <w:basedOn w:val="TableBlock"/>
    <w:rsid w:val="00D00E27"/>
    <w:pPr>
      <w:ind w:left="624" w:hanging="624"/>
    </w:pPr>
  </w:style>
  <w:style w:type="paragraph" w:styleId="a8">
    <w:name w:val="header"/>
    <w:basedOn w:val="a"/>
    <w:rsid w:val="00D00E27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D00E27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D00E27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D00E27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b">
    <w:name w:val="page number"/>
    <w:basedOn w:val="a0"/>
    <w:rsid w:val="00D00E27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FA0C7E"/>
    <w:rPr>
      <w:rFonts w:ascii="Arial" w:eastAsia="Arial Unicode MS" w:hAnsi="Arial" w:cs="David"/>
      <w:snapToGrid w:val="0"/>
      <w:sz w:val="14"/>
    </w:rPr>
  </w:style>
  <w:style w:type="character" w:styleId="ae">
    <w:name w:val="annotation reference"/>
    <w:basedOn w:val="a0"/>
    <w:semiHidden/>
    <w:unhideWhenUsed/>
    <w:rsid w:val="005100AB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5100AB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semiHidden/>
    <w:rsid w:val="005100AB"/>
    <w:rPr>
      <w:rFonts w:ascii="Hadasa Roso SL" w:hAnsi="Hadasa Roso SL" w:cs="Hadasa Roso SL"/>
      <w:color w:val="000000"/>
      <w:spacing w:val="1"/>
      <w:lang w:eastAsia="ja-JP"/>
    </w:rPr>
  </w:style>
  <w:style w:type="paragraph" w:styleId="af1">
    <w:name w:val="annotation subject"/>
    <w:basedOn w:val="af"/>
    <w:next w:val="af"/>
    <w:link w:val="af2"/>
    <w:semiHidden/>
    <w:unhideWhenUsed/>
    <w:rsid w:val="005100AB"/>
    <w:rPr>
      <w:b/>
      <w:bCs/>
    </w:rPr>
  </w:style>
  <w:style w:type="character" w:customStyle="1" w:styleId="af2">
    <w:name w:val="נושא הערה תו"/>
    <w:basedOn w:val="af0"/>
    <w:link w:val="af1"/>
    <w:semiHidden/>
    <w:rsid w:val="005100AB"/>
    <w:rPr>
      <w:rFonts w:ascii="Hadasa Roso SL" w:hAnsi="Hadasa Roso SL" w:cs="Hadasa Roso SL"/>
      <w:b/>
      <w:bCs/>
      <w:color w:val="000000"/>
      <w:spacing w:val="1"/>
      <w:lang w:eastAsia="ja-JP"/>
    </w:rPr>
  </w:style>
  <w:style w:type="character" w:styleId="Hyperlink">
    <w:name w:val="Hyperlink"/>
    <w:basedOn w:val="a0"/>
    <w:uiPriority w:val="99"/>
    <w:unhideWhenUsed/>
    <w:rsid w:val="00D00E27"/>
    <w:rPr>
      <w:color w:val="0000FF" w:themeColor="hyperlink"/>
      <w:u w:val="single"/>
    </w:rPr>
  </w:style>
  <w:style w:type="paragraph" w:customStyle="1" w:styleId="p00">
    <w:name w:val="p00"/>
    <w:basedOn w:val="a"/>
    <w:rsid w:val="00136B49"/>
    <w:pPr>
      <w:widowControl/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big-number">
    <w:name w:val="big-number"/>
    <w:basedOn w:val="a0"/>
    <w:rsid w:val="00136B49"/>
  </w:style>
  <w:style w:type="character" w:customStyle="1" w:styleId="default">
    <w:name w:val="default"/>
    <w:basedOn w:val="a0"/>
    <w:rsid w:val="00136B49"/>
  </w:style>
  <w:style w:type="paragraph" w:customStyle="1" w:styleId="medium2-header">
    <w:name w:val="medium2-header"/>
    <w:basedOn w:val="a"/>
    <w:rsid w:val="00136B49"/>
    <w:pPr>
      <w:widowControl/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p22">
    <w:name w:val="p22"/>
    <w:basedOn w:val="a"/>
    <w:rsid w:val="00136B49"/>
    <w:pPr>
      <w:widowControl/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a0"/>
    <w:semiHidden/>
    <w:unhideWhenUsed/>
    <w:rsid w:val="00D9394C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D00E27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D00E27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D00E27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D00E27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D00E27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D00E27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D00E27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D00E27"/>
    <w:pPr>
      <w:tabs>
        <w:tab w:val="right" w:leader="dot" w:pos="9628"/>
      </w:tabs>
      <w:spacing w:after="100"/>
    </w:pPr>
    <w:rPr>
      <w:szCs w:val="22"/>
    </w:rPr>
  </w:style>
  <w:style w:type="paragraph" w:styleId="TOC3">
    <w:name w:val="toc 3"/>
    <w:basedOn w:val="a"/>
    <w:next w:val="a"/>
    <w:uiPriority w:val="39"/>
    <w:unhideWhenUsed/>
    <w:rsid w:val="00D00E27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D00E27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D00E27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D00E27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D00E27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D00E27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D00E27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D00E27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D00E27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D00E27"/>
    <w:rPr>
      <w:rFonts w:eastAsia="Times New Roman"/>
    </w:rPr>
  </w:style>
  <w:style w:type="paragraph" w:styleId="af4">
    <w:name w:val="List Paragraph"/>
    <w:basedOn w:val="a"/>
    <w:uiPriority w:val="34"/>
    <w:qFormat/>
    <w:rsid w:val="00D00E27"/>
    <w:pPr>
      <w:widowControl/>
      <w:spacing w:line="259" w:lineRule="auto"/>
    </w:pPr>
    <w:rPr>
      <w:rFonts w:asciiTheme="minorHAnsi" w:hAnsiTheme="minorHAnsi"/>
      <w:sz w:val="22"/>
    </w:rPr>
  </w:style>
  <w:style w:type="table" w:styleId="af5">
    <w:name w:val="Table Grid"/>
    <w:basedOn w:val="a1"/>
    <w:rsid w:val="00D0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D00E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D00E2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6">
    <w:name w:val="טבלת חקיקה"/>
    <w:basedOn w:val="a1"/>
    <w:uiPriority w:val="99"/>
    <w:rsid w:val="00D00E27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D00E27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F0CF5-23CD-4D84-AA93-0406445D5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4AFE3-9455-419C-8851-785A55F44517}">
  <ds:schemaRefs>
    <ds:schemaRef ds:uri="http://purl.org/dc/dcmitype/"/>
    <ds:schemaRef ds:uri="http://purl.org/dc/elements/1.1/"/>
    <ds:schemaRef ds:uri="290d5b49-c690-4c6f-bbb9-1e50dab33eee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07294D1-6D13-43B0-BF81-E5E1A958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233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דפנה ברנאי</cp:lastModifiedBy>
  <cp:revision>19</cp:revision>
  <cp:lastPrinted>2021-11-10T12:46:00Z</cp:lastPrinted>
  <dcterms:created xsi:type="dcterms:W3CDTF">2015-04-20T09:58:00Z</dcterms:created>
  <dcterms:modified xsi:type="dcterms:W3CDTF">2021-11-10T12:46:00Z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2162148</vt:r8>
  </property>
</Properties>
</file>